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DCF63" w14:textId="413B1193" w:rsidR="00C6364E" w:rsidRPr="00736A1A" w:rsidRDefault="005D0178" w:rsidP="005D0178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72"/>
          <w:szCs w:val="72"/>
        </w:rPr>
        <w:t xml:space="preserve">            </w:t>
      </w:r>
      <w:r w:rsidRPr="00736A1A">
        <w:rPr>
          <w:rFonts w:ascii="Bradley Hand ITC" w:hAnsi="Bradley Hand ITC"/>
          <w:b/>
          <w:sz w:val="28"/>
          <w:szCs w:val="28"/>
        </w:rPr>
        <w:t>‘Romeo and Juliet’</w:t>
      </w:r>
      <w:r w:rsidR="003015CE">
        <w:rPr>
          <w:rFonts w:ascii="Bradley Hand ITC" w:hAnsi="Bradley Hand ITC"/>
          <w:b/>
          <w:sz w:val="28"/>
          <w:szCs w:val="28"/>
        </w:rPr>
        <w:t xml:space="preserve"> </w:t>
      </w:r>
      <w:bookmarkStart w:id="0" w:name="_GoBack"/>
      <w:bookmarkEnd w:id="0"/>
      <w:r w:rsidR="00736A1A">
        <w:rPr>
          <w:rFonts w:ascii="Bradley Hand ITC" w:hAnsi="Bradley Hand ITC"/>
          <w:sz w:val="28"/>
          <w:szCs w:val="28"/>
        </w:rPr>
        <w:t>Comic</w:t>
      </w:r>
      <w:r w:rsidR="00736A1A" w:rsidRPr="00736A1A">
        <w:rPr>
          <w:rFonts w:ascii="Bradley Hand ITC" w:hAnsi="Bradley Hand ITC"/>
          <w:b/>
          <w:noProof/>
          <w:sz w:val="28"/>
          <w:szCs w:val="28"/>
          <w:lang w:val="en-US"/>
        </w:rPr>
        <w:drawing>
          <wp:inline distT="0" distB="0" distL="0" distR="0" wp14:anchorId="1E735A15" wp14:editId="4A53A973">
            <wp:extent cx="711835" cy="711835"/>
            <wp:effectExtent l="19050" t="0" r="0" b="0"/>
            <wp:docPr id="6" name="il_fi" descr="http://www.examiner.com/images/blog/EXID13321/images/comedy_tragedy_mas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xaminer.com/images/blog/EXID13321/images/comedy_tragedy_mask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609" w:type="dxa"/>
        <w:tblInd w:w="-318" w:type="dxa"/>
        <w:tblLook w:val="04A0" w:firstRow="1" w:lastRow="0" w:firstColumn="1" w:lastColumn="0" w:noHBand="0" w:noVBand="1"/>
      </w:tblPr>
      <w:tblGrid>
        <w:gridCol w:w="2295"/>
        <w:gridCol w:w="2585"/>
        <w:gridCol w:w="2776"/>
        <w:gridCol w:w="3118"/>
        <w:gridCol w:w="2835"/>
      </w:tblGrid>
      <w:tr w:rsidR="00287394" w14:paraId="4FB41E77" w14:textId="77777777" w:rsidTr="00287394">
        <w:tc>
          <w:tcPr>
            <w:tcW w:w="2295" w:type="dxa"/>
            <w:tcBorders>
              <w:bottom w:val="single" w:sz="4" w:space="0" w:color="auto"/>
            </w:tcBorders>
          </w:tcPr>
          <w:p w14:paraId="1919E235" w14:textId="77777777" w:rsidR="00287394" w:rsidRDefault="00287394" w:rsidP="005D0178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solid" w:color="D9D9D9" w:themeColor="background1" w:themeShade="D9" w:fill="D9D9D9" w:themeFill="background1" w:themeFillShade="D9"/>
          </w:tcPr>
          <w:p w14:paraId="1107CB8C" w14:textId="77777777" w:rsidR="00287394" w:rsidRDefault="00287394" w:rsidP="005D0178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1</w:t>
            </w:r>
          </w:p>
        </w:tc>
        <w:tc>
          <w:tcPr>
            <w:tcW w:w="2776" w:type="dxa"/>
            <w:shd w:val="solid" w:color="D9D9D9" w:themeColor="background1" w:themeShade="D9" w:fill="D9D9D9" w:themeFill="background1" w:themeFillShade="D9"/>
          </w:tcPr>
          <w:p w14:paraId="7318677D" w14:textId="77777777" w:rsidR="00287394" w:rsidRDefault="00287394" w:rsidP="005D0178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solid" w:color="D9D9D9" w:themeColor="background1" w:themeShade="D9" w:fill="D9D9D9" w:themeFill="background1" w:themeFillShade="D9"/>
          </w:tcPr>
          <w:p w14:paraId="0A471801" w14:textId="77777777" w:rsidR="00287394" w:rsidRDefault="00287394" w:rsidP="005D0178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solid" w:color="D9D9D9" w:themeColor="background1" w:themeShade="D9" w:fill="D9D9D9" w:themeFill="background1" w:themeFillShade="D9"/>
          </w:tcPr>
          <w:p w14:paraId="64709FEC" w14:textId="77777777" w:rsidR="00287394" w:rsidRDefault="00287394" w:rsidP="005D0178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4</w:t>
            </w:r>
          </w:p>
        </w:tc>
      </w:tr>
      <w:tr w:rsidR="00287394" w14:paraId="70381345" w14:textId="77777777" w:rsidTr="00287394">
        <w:tc>
          <w:tcPr>
            <w:tcW w:w="2295" w:type="dxa"/>
            <w:shd w:val="solid" w:color="D9D9D9" w:themeColor="background1" w:themeShade="D9" w:fill="auto"/>
          </w:tcPr>
          <w:p w14:paraId="4C018D20" w14:textId="77777777" w:rsidR="00287394" w:rsidRPr="00287394" w:rsidRDefault="00287394" w:rsidP="00287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394">
              <w:rPr>
                <w:rFonts w:ascii="Times New Roman" w:hAnsi="Times New Roman" w:cs="Times New Roman"/>
                <w:b/>
                <w:sz w:val="20"/>
                <w:szCs w:val="20"/>
              </w:rPr>
              <w:t>Genre</w:t>
            </w:r>
            <w:r w:rsidR="006720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vs. Original</w:t>
            </w:r>
          </w:p>
          <w:p w14:paraId="728FF2EB" w14:textId="77777777" w:rsidR="00287394" w:rsidRDefault="00287394" w:rsidP="002873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9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‘Time Period/Setting’</w:t>
            </w:r>
          </w:p>
          <w:p w14:paraId="17670999" w14:textId="77777777" w:rsidR="00287394" w:rsidRPr="00287394" w:rsidRDefault="00287394" w:rsidP="002873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85" w:type="dxa"/>
          </w:tcPr>
          <w:p w14:paraId="66E7FF88" w14:textId="77777777" w:rsidR="00287394" w:rsidRPr="00672016" w:rsidRDefault="00672016" w:rsidP="0067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016">
              <w:rPr>
                <w:rFonts w:ascii="Times New Roman" w:hAnsi="Times New Roman" w:cs="Times New Roman"/>
                <w:sz w:val="20"/>
                <w:szCs w:val="20"/>
              </w:rPr>
              <w:t xml:space="preserve">Student shows no commitment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genre and the original script. Little understanding of the original scene is evident.</w:t>
            </w:r>
          </w:p>
        </w:tc>
        <w:tc>
          <w:tcPr>
            <w:tcW w:w="2776" w:type="dxa"/>
          </w:tcPr>
          <w:p w14:paraId="6D42F326" w14:textId="77777777" w:rsidR="00287394" w:rsidRPr="00672016" w:rsidRDefault="00672016" w:rsidP="005D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shows some connection between the new genre and the original script. Comic shows little understanding of the original scene.</w:t>
            </w:r>
          </w:p>
        </w:tc>
        <w:tc>
          <w:tcPr>
            <w:tcW w:w="3118" w:type="dxa"/>
          </w:tcPr>
          <w:p w14:paraId="3C76E47A" w14:textId="77777777" w:rsidR="00287394" w:rsidRPr="00672016" w:rsidRDefault="00672016" w:rsidP="0067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shows good connections between the new genre and the original script. Understanding </w:t>
            </w:r>
            <w:r w:rsidRPr="00672016">
              <w:rPr>
                <w:rFonts w:ascii="Times New Roman" w:hAnsi="Times New Roman" w:cs="Times New Roman"/>
                <w:sz w:val="20"/>
                <w:szCs w:val="20"/>
              </w:rPr>
              <w:t>of the original scene is evident.</w:t>
            </w:r>
          </w:p>
        </w:tc>
        <w:tc>
          <w:tcPr>
            <w:tcW w:w="2835" w:type="dxa"/>
          </w:tcPr>
          <w:p w14:paraId="3827F6E9" w14:textId="77777777" w:rsidR="00287394" w:rsidRPr="00672016" w:rsidRDefault="00672016" w:rsidP="005D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shows excellent connections between the new genre and the original script. Shows clear and </w:t>
            </w:r>
            <w:r w:rsidR="006C3098">
              <w:rPr>
                <w:rFonts w:ascii="Times New Roman" w:hAnsi="Times New Roman" w:cs="Times New Roman"/>
                <w:sz w:val="20"/>
                <w:szCs w:val="20"/>
              </w:rPr>
              <w:t>obvious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understanding of the original scene.</w:t>
            </w:r>
          </w:p>
        </w:tc>
      </w:tr>
      <w:tr w:rsidR="00287394" w14:paraId="3FE0A53F" w14:textId="77777777" w:rsidTr="00287394">
        <w:tc>
          <w:tcPr>
            <w:tcW w:w="2295" w:type="dxa"/>
            <w:shd w:val="solid" w:color="D9D9D9" w:themeColor="background1" w:themeShade="D9" w:fill="auto"/>
          </w:tcPr>
          <w:p w14:paraId="32483AF9" w14:textId="77777777" w:rsidR="00287394" w:rsidRPr="000E591F" w:rsidRDefault="00287394" w:rsidP="00287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91F">
              <w:rPr>
                <w:rFonts w:ascii="Times New Roman" w:hAnsi="Times New Roman" w:cs="Times New Roman"/>
                <w:b/>
                <w:sz w:val="20"/>
                <w:szCs w:val="20"/>
              </w:rPr>
              <w:t>Contextual Influences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80B3482" w14:textId="77777777" w:rsidR="00287394" w:rsidRPr="00287394" w:rsidRDefault="00287394" w:rsidP="002873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9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‘Language’</w:t>
            </w:r>
          </w:p>
        </w:tc>
        <w:tc>
          <w:tcPr>
            <w:tcW w:w="2585" w:type="dxa"/>
          </w:tcPr>
          <w:p w14:paraId="00EA0EBC" w14:textId="77777777" w:rsidR="00287394" w:rsidRPr="00672016" w:rsidRDefault="00287394" w:rsidP="005D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016">
              <w:rPr>
                <w:rFonts w:ascii="Times New Roman" w:hAnsi="Times New Roman" w:cs="Times New Roman"/>
                <w:sz w:val="20"/>
                <w:szCs w:val="20"/>
              </w:rPr>
              <w:t>Student does not acknowledge genre’s effect on language</w:t>
            </w:r>
          </w:p>
        </w:tc>
        <w:tc>
          <w:tcPr>
            <w:tcW w:w="2776" w:type="dxa"/>
          </w:tcPr>
          <w:p w14:paraId="2E43FBEB" w14:textId="77777777" w:rsidR="00287394" w:rsidRPr="00672016" w:rsidRDefault="00287394" w:rsidP="00287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016">
              <w:rPr>
                <w:rFonts w:ascii="Times New Roman" w:hAnsi="Times New Roman" w:cs="Times New Roman"/>
                <w:sz w:val="20"/>
                <w:szCs w:val="20"/>
              </w:rPr>
              <w:t>Student shows a language choice; however, there is disconnect from the genre</w:t>
            </w:r>
          </w:p>
        </w:tc>
        <w:tc>
          <w:tcPr>
            <w:tcW w:w="3118" w:type="dxa"/>
          </w:tcPr>
          <w:p w14:paraId="01243401" w14:textId="77777777" w:rsidR="00287394" w:rsidRPr="00672016" w:rsidRDefault="00287394" w:rsidP="005D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016">
              <w:rPr>
                <w:rFonts w:ascii="Times New Roman" w:hAnsi="Times New Roman" w:cs="Times New Roman"/>
                <w:sz w:val="20"/>
                <w:szCs w:val="20"/>
              </w:rPr>
              <w:t>Student shows clear awareness of language and connection to the text</w:t>
            </w:r>
          </w:p>
        </w:tc>
        <w:tc>
          <w:tcPr>
            <w:tcW w:w="2835" w:type="dxa"/>
          </w:tcPr>
          <w:p w14:paraId="64EBA9DE" w14:textId="77777777" w:rsidR="00287394" w:rsidRPr="00672016" w:rsidRDefault="00287394" w:rsidP="005D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016">
              <w:rPr>
                <w:rFonts w:ascii="Times New Roman" w:hAnsi="Times New Roman" w:cs="Times New Roman"/>
                <w:sz w:val="20"/>
                <w:szCs w:val="20"/>
              </w:rPr>
              <w:t>Student shows excellent understanding of setting and time period and how it relates to the text.</w:t>
            </w:r>
          </w:p>
        </w:tc>
      </w:tr>
      <w:tr w:rsidR="00287394" w14:paraId="040481A9" w14:textId="77777777" w:rsidTr="00287394">
        <w:tc>
          <w:tcPr>
            <w:tcW w:w="2295" w:type="dxa"/>
            <w:shd w:val="solid" w:color="D9D9D9" w:themeColor="background1" w:themeShade="D9" w:fill="auto"/>
          </w:tcPr>
          <w:p w14:paraId="28302553" w14:textId="77777777" w:rsidR="00287394" w:rsidRPr="000E591F" w:rsidRDefault="00287394" w:rsidP="00287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Contextual </w:t>
            </w:r>
            <w:r w:rsidRPr="000E591F">
              <w:rPr>
                <w:rFonts w:ascii="Times New Roman" w:hAnsi="Times New Roman" w:cs="Times New Roman"/>
                <w:b/>
                <w:sz w:val="20"/>
                <w:szCs w:val="20"/>
              </w:rPr>
              <w:t>Influences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A14A6E9" w14:textId="77777777" w:rsidR="00287394" w:rsidRDefault="00287394" w:rsidP="002873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9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‘Characters, Costumes, Staging’</w:t>
            </w:r>
          </w:p>
          <w:p w14:paraId="6554169A" w14:textId="77777777" w:rsidR="00287394" w:rsidRDefault="00287394" w:rsidP="00287394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14:paraId="65F4099B" w14:textId="77777777" w:rsidR="00287394" w:rsidRPr="00672016" w:rsidRDefault="00916417" w:rsidP="005D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shows no commitment to their genre choice with no evidence of connecting their theme to characters, costumes or staging.</w:t>
            </w:r>
          </w:p>
        </w:tc>
        <w:tc>
          <w:tcPr>
            <w:tcW w:w="2776" w:type="dxa"/>
          </w:tcPr>
          <w:p w14:paraId="5E215C38" w14:textId="77777777" w:rsidR="00287394" w:rsidRPr="00672016" w:rsidRDefault="00916417" w:rsidP="0091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gives some commitment to their genre choice and shows some connections to characters, costumes and staging.</w:t>
            </w:r>
          </w:p>
        </w:tc>
        <w:tc>
          <w:tcPr>
            <w:tcW w:w="3118" w:type="dxa"/>
          </w:tcPr>
          <w:p w14:paraId="40DBB32D" w14:textId="77777777" w:rsidR="00287394" w:rsidRPr="00672016" w:rsidRDefault="00916417" w:rsidP="005D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shows good commitment to genre choice; connections between genre and characters, costumes and staging are evident.</w:t>
            </w:r>
          </w:p>
        </w:tc>
        <w:tc>
          <w:tcPr>
            <w:tcW w:w="2835" w:type="dxa"/>
          </w:tcPr>
          <w:p w14:paraId="47758F3A" w14:textId="77777777" w:rsidR="00287394" w:rsidRPr="00672016" w:rsidRDefault="00916417" w:rsidP="005D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shows excellent commitment to genre choice: clear and thought out connections are made between the genre and characters, costumes and staging.</w:t>
            </w:r>
          </w:p>
        </w:tc>
      </w:tr>
      <w:tr w:rsidR="00287394" w14:paraId="08C3174B" w14:textId="77777777" w:rsidTr="00287394">
        <w:tc>
          <w:tcPr>
            <w:tcW w:w="2295" w:type="dxa"/>
            <w:shd w:val="solid" w:color="D9D9D9" w:themeColor="background1" w:themeShade="D9" w:fill="auto"/>
          </w:tcPr>
          <w:p w14:paraId="3BEEDEDA" w14:textId="77777777" w:rsidR="00287394" w:rsidRDefault="00287394" w:rsidP="00287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91F">
              <w:rPr>
                <w:rFonts w:ascii="Times New Roman" w:hAnsi="Times New Roman" w:cs="Times New Roman"/>
                <w:b/>
                <w:sz w:val="20"/>
                <w:szCs w:val="20"/>
              </w:rPr>
              <w:t>Representation of Information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5E81C59" w14:textId="77777777" w:rsidR="00287394" w:rsidRPr="00287394" w:rsidRDefault="00235FAB" w:rsidP="002873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‘Comic, Presentation’</w:t>
            </w:r>
          </w:p>
          <w:p w14:paraId="4494634A" w14:textId="77777777" w:rsidR="00287394" w:rsidRDefault="00287394" w:rsidP="00287394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14:paraId="0BB1E960" w14:textId="77777777" w:rsidR="00287394" w:rsidRPr="00672016" w:rsidRDefault="00E91C81" w:rsidP="005D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Comic is incomplete and shows no connection between </w:t>
            </w:r>
            <w:r w:rsidR="006C3098">
              <w:rPr>
                <w:rFonts w:ascii="Times New Roman" w:hAnsi="Times New Roman" w:cs="Times New Roman"/>
                <w:sz w:val="20"/>
                <w:szCs w:val="20"/>
              </w:rPr>
              <w:t>the genre choice and creative choices (colour, layout, text etc).</w:t>
            </w:r>
            <w:r w:rsidR="00235FAB">
              <w:rPr>
                <w:rFonts w:ascii="Times New Roman" w:hAnsi="Times New Roman" w:cs="Times New Roman"/>
                <w:sz w:val="20"/>
                <w:szCs w:val="20"/>
              </w:rPr>
              <w:t xml:space="preserve"> Comic is messily drawn. </w:t>
            </w:r>
          </w:p>
        </w:tc>
        <w:tc>
          <w:tcPr>
            <w:tcW w:w="2776" w:type="dxa"/>
          </w:tcPr>
          <w:p w14:paraId="4352B309" w14:textId="77777777" w:rsidR="00287394" w:rsidRPr="00672016" w:rsidRDefault="00E91C81" w:rsidP="006C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Comic shows </w:t>
            </w:r>
            <w:r w:rsidR="006C3098">
              <w:rPr>
                <w:rFonts w:ascii="Times New Roman" w:hAnsi="Times New Roman" w:cs="Times New Roman"/>
                <w:sz w:val="20"/>
                <w:szCs w:val="20"/>
              </w:rPr>
              <w:t>fair presentation. Student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shows some understanding of genre in creative choices (colour, layout, text etc). </w:t>
            </w:r>
            <w:r w:rsidR="00235FAB">
              <w:rPr>
                <w:rFonts w:ascii="Times New Roman" w:hAnsi="Times New Roman" w:cs="Times New Roman"/>
                <w:sz w:val="20"/>
                <w:szCs w:val="20"/>
              </w:rPr>
              <w:t xml:space="preserve">Comic is a little messy (pencil lines showing etc). </w:t>
            </w:r>
          </w:p>
        </w:tc>
        <w:tc>
          <w:tcPr>
            <w:tcW w:w="3118" w:type="dxa"/>
          </w:tcPr>
          <w:p w14:paraId="56AB2BB9" w14:textId="77777777" w:rsidR="00287394" w:rsidRDefault="00E91C81" w:rsidP="00E9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Comic is well presented and laid out in an aesthetic manner; genre choice is evident in creative choices (colour, layout text).</w:t>
            </w:r>
          </w:p>
          <w:p w14:paraId="7FB92EAC" w14:textId="77777777" w:rsidR="00235FAB" w:rsidRPr="00672016" w:rsidRDefault="00235FAB" w:rsidP="00E9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Comic is cleanly presented (no pencil lines etc).</w:t>
            </w:r>
          </w:p>
        </w:tc>
        <w:tc>
          <w:tcPr>
            <w:tcW w:w="2835" w:type="dxa"/>
          </w:tcPr>
          <w:p w14:paraId="7E406DD9" w14:textId="77777777" w:rsidR="00287394" w:rsidRPr="00672016" w:rsidRDefault="00E91C81" w:rsidP="005D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Comic is very well presented and laid out in an aesthetic manner with clear connections between creative choices (colour, layout, text) and the genre chosen.</w:t>
            </w:r>
            <w:r w:rsidR="00235FAB">
              <w:rPr>
                <w:rFonts w:ascii="Times New Roman" w:hAnsi="Times New Roman" w:cs="Times New Roman"/>
                <w:sz w:val="20"/>
                <w:szCs w:val="20"/>
              </w:rPr>
              <w:t xml:space="preserve"> Comic is cleanly presented (no pencil lines etc). </w:t>
            </w:r>
          </w:p>
        </w:tc>
      </w:tr>
      <w:tr w:rsidR="00287394" w14:paraId="55486038" w14:textId="77777777" w:rsidTr="00287394">
        <w:tc>
          <w:tcPr>
            <w:tcW w:w="2295" w:type="dxa"/>
            <w:shd w:val="solid" w:color="D9D9D9" w:themeColor="background1" w:themeShade="D9" w:fill="auto"/>
          </w:tcPr>
          <w:p w14:paraId="3F615CA8" w14:textId="77777777" w:rsidR="00287394" w:rsidRDefault="00672016" w:rsidP="0067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Artist’s Statement</w:t>
            </w:r>
          </w:p>
          <w:p w14:paraId="152C6CA7" w14:textId="77777777" w:rsidR="00235FAB" w:rsidRPr="00235FAB" w:rsidRDefault="00235FAB" w:rsidP="00672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FAB">
              <w:rPr>
                <w:rFonts w:ascii="Times New Roman" w:hAnsi="Times New Roman" w:cs="Times New Roman"/>
                <w:sz w:val="20"/>
                <w:szCs w:val="20"/>
              </w:rPr>
              <w:t>(100 words)</w:t>
            </w:r>
          </w:p>
        </w:tc>
        <w:tc>
          <w:tcPr>
            <w:tcW w:w="2585" w:type="dxa"/>
          </w:tcPr>
          <w:p w14:paraId="6451116A" w14:textId="77777777" w:rsidR="00287394" w:rsidRPr="00672016" w:rsidRDefault="00672016" w:rsidP="0091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does not explain genre choice or how it </w:t>
            </w:r>
            <w:r w:rsidR="00916417">
              <w:rPr>
                <w:rFonts w:ascii="Times New Roman" w:hAnsi="Times New Roman" w:cs="Times New Roman"/>
                <w:sz w:val="20"/>
                <w:szCs w:val="20"/>
              </w:rPr>
              <w:t>affects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scene.</w:t>
            </w:r>
          </w:p>
        </w:tc>
        <w:tc>
          <w:tcPr>
            <w:tcW w:w="2776" w:type="dxa"/>
          </w:tcPr>
          <w:p w14:paraId="15160C0B" w14:textId="77777777" w:rsidR="00287394" w:rsidRPr="00672016" w:rsidRDefault="00672016" w:rsidP="005D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 w:rsidR="00916417">
              <w:rPr>
                <w:rFonts w:ascii="Times New Roman" w:hAnsi="Times New Roman" w:cs="Times New Roman"/>
                <w:sz w:val="20"/>
                <w:szCs w:val="20"/>
              </w:rPr>
              <w:t>explains genre choice but shows little understanding of how the scene is affected.</w:t>
            </w:r>
          </w:p>
        </w:tc>
        <w:tc>
          <w:tcPr>
            <w:tcW w:w="3118" w:type="dxa"/>
          </w:tcPr>
          <w:p w14:paraId="09D8B121" w14:textId="77777777" w:rsidR="00287394" w:rsidRPr="00672016" w:rsidRDefault="00916417" w:rsidP="005D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shows good understanding of the genre chosen and gives a good explanation of how the scene is benefited.</w:t>
            </w:r>
          </w:p>
        </w:tc>
        <w:tc>
          <w:tcPr>
            <w:tcW w:w="2835" w:type="dxa"/>
          </w:tcPr>
          <w:p w14:paraId="590FFC21" w14:textId="77777777" w:rsidR="00287394" w:rsidRPr="00672016" w:rsidRDefault="00916417" w:rsidP="005D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shows excellent understanding of their genre and gives an excellent explanation of how this scene has been affected.</w:t>
            </w:r>
          </w:p>
        </w:tc>
      </w:tr>
    </w:tbl>
    <w:p w14:paraId="54A02334" w14:textId="77777777" w:rsidR="006C3098" w:rsidRPr="00736A1A" w:rsidRDefault="006C3098" w:rsidP="00C62259">
      <w:pPr>
        <w:spacing w:after="0" w:line="240" w:lineRule="auto"/>
        <w:jc w:val="right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16"/>
          <w:szCs w:val="16"/>
        </w:rPr>
        <w:br/>
      </w:r>
      <w:r w:rsidRPr="00736A1A">
        <w:rPr>
          <w:rFonts w:ascii="Bradley Hand ITC" w:hAnsi="Bradley Hand ITC"/>
          <w:b/>
          <w:sz w:val="28"/>
          <w:szCs w:val="28"/>
        </w:rPr>
        <w:t>/20</w:t>
      </w:r>
    </w:p>
    <w:sectPr w:rsidR="006C3098" w:rsidRPr="00736A1A" w:rsidSect="00736A1A">
      <w:pgSz w:w="15840" w:h="12240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178"/>
    <w:rsid w:val="00007454"/>
    <w:rsid w:val="00235FAB"/>
    <w:rsid w:val="00287394"/>
    <w:rsid w:val="003015CE"/>
    <w:rsid w:val="004D7CB3"/>
    <w:rsid w:val="00500561"/>
    <w:rsid w:val="005D0178"/>
    <w:rsid w:val="00672016"/>
    <w:rsid w:val="00676449"/>
    <w:rsid w:val="006C3098"/>
    <w:rsid w:val="006E2044"/>
    <w:rsid w:val="00736A1A"/>
    <w:rsid w:val="00916417"/>
    <w:rsid w:val="00B601D2"/>
    <w:rsid w:val="00BD2DC8"/>
    <w:rsid w:val="00C62259"/>
    <w:rsid w:val="00C6364E"/>
    <w:rsid w:val="00CA0D20"/>
    <w:rsid w:val="00E31212"/>
    <w:rsid w:val="00E9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D57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404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 Andres</cp:lastModifiedBy>
  <cp:revision>9</cp:revision>
  <dcterms:created xsi:type="dcterms:W3CDTF">2012-03-28T18:30:00Z</dcterms:created>
  <dcterms:modified xsi:type="dcterms:W3CDTF">2015-11-14T06:36:00Z</dcterms:modified>
</cp:coreProperties>
</file>